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32" w:rsidRPr="00875632" w:rsidRDefault="00875632" w:rsidP="00250A87">
      <w:pPr>
        <w:jc w:val="center"/>
        <w:rPr>
          <w:b/>
          <w:sz w:val="36"/>
          <w:szCs w:val="36"/>
        </w:rPr>
      </w:pPr>
    </w:p>
    <w:p w:rsidR="00250A87" w:rsidRPr="00475C20" w:rsidRDefault="00250A87" w:rsidP="00250A87">
      <w:pPr>
        <w:jc w:val="center"/>
        <w:rPr>
          <w:b/>
          <w:sz w:val="96"/>
        </w:rPr>
      </w:pPr>
      <w:r w:rsidRPr="00475C20">
        <w:rPr>
          <w:b/>
          <w:sz w:val="96"/>
        </w:rPr>
        <w:t>PESTICIDE MINIBULKS</w:t>
      </w:r>
    </w:p>
    <w:p w:rsidR="0011555F" w:rsidRPr="00250A87" w:rsidRDefault="0011555F" w:rsidP="00250A87">
      <w:pPr>
        <w:pBdr>
          <w:bottom w:val="single" w:sz="4" w:space="1" w:color="auto"/>
        </w:pBdr>
        <w:jc w:val="center"/>
        <w:rPr>
          <w:b/>
          <w:sz w:val="52"/>
        </w:rPr>
      </w:pPr>
      <w:r w:rsidRPr="00250A87">
        <w:rPr>
          <w:b/>
          <w:sz w:val="52"/>
        </w:rPr>
        <w:t>Resources</w:t>
      </w:r>
    </w:p>
    <w:p w:rsidR="00250A87" w:rsidRPr="00250A87" w:rsidRDefault="00250A87" w:rsidP="0011555F">
      <w:pPr>
        <w:rPr>
          <w:sz w:val="24"/>
          <w:szCs w:val="24"/>
        </w:rPr>
      </w:pPr>
    </w:p>
    <w:p w:rsidR="0005647B" w:rsidRPr="00250A87" w:rsidRDefault="0011555F" w:rsidP="0011555F">
      <w:pPr>
        <w:rPr>
          <w:sz w:val="24"/>
          <w:szCs w:val="24"/>
        </w:rPr>
      </w:pPr>
      <w:r w:rsidRPr="00250A87">
        <w:rPr>
          <w:sz w:val="24"/>
          <w:szCs w:val="24"/>
        </w:rPr>
        <w:t xml:space="preserve">If you </w:t>
      </w:r>
      <w:r w:rsidR="00250A87" w:rsidRPr="00250A87">
        <w:rPr>
          <w:sz w:val="24"/>
          <w:szCs w:val="24"/>
        </w:rPr>
        <w:t>stor</w:t>
      </w:r>
      <w:r w:rsidRPr="00250A87">
        <w:rPr>
          <w:sz w:val="24"/>
          <w:szCs w:val="24"/>
        </w:rPr>
        <w:t>e bulk amounts of pesticide or fertilizer</w:t>
      </w:r>
      <w:r w:rsidR="00250A87" w:rsidRPr="00250A87">
        <w:rPr>
          <w:sz w:val="24"/>
          <w:szCs w:val="24"/>
        </w:rPr>
        <w:t xml:space="preserve"> over 30 days</w:t>
      </w:r>
      <w:r w:rsidRPr="00250A87">
        <w:rPr>
          <w:sz w:val="24"/>
          <w:szCs w:val="24"/>
        </w:rPr>
        <w:t>, you must register your facility with OISC</w:t>
      </w:r>
      <w:r w:rsidR="00250A87" w:rsidRPr="00250A87">
        <w:rPr>
          <w:sz w:val="24"/>
          <w:szCs w:val="24"/>
        </w:rPr>
        <w:t xml:space="preserve"> at no charge</w:t>
      </w:r>
      <w:r w:rsidRPr="00250A87">
        <w:rPr>
          <w:sz w:val="24"/>
          <w:szCs w:val="24"/>
        </w:rPr>
        <w:t xml:space="preserve">.  The form (Pesticide or Fertilizer) is available </w:t>
      </w:r>
      <w:r w:rsidR="00250A87" w:rsidRPr="00250A87">
        <w:rPr>
          <w:sz w:val="24"/>
          <w:szCs w:val="24"/>
        </w:rPr>
        <w:t>at OISC’s website</w:t>
      </w:r>
      <w:r w:rsidRPr="00250A87">
        <w:rPr>
          <w:sz w:val="24"/>
          <w:szCs w:val="24"/>
        </w:rPr>
        <w:t xml:space="preserve">: </w:t>
      </w:r>
      <w:hyperlink r:id="rId7" w:history="1">
        <w:r w:rsidRPr="00250A87">
          <w:rPr>
            <w:rStyle w:val="Hyperlink"/>
            <w:sz w:val="24"/>
            <w:szCs w:val="24"/>
          </w:rPr>
          <w:t>https://www.oisc.purdue.edu/fertilizer/pdf/registration_bulk_storage_facilities_fert_pest.pdf</w:t>
        </w:r>
      </w:hyperlink>
      <w:r w:rsidRPr="00250A87">
        <w:rPr>
          <w:sz w:val="24"/>
          <w:szCs w:val="24"/>
        </w:rPr>
        <w:t xml:space="preserve"> </w:t>
      </w:r>
    </w:p>
    <w:p w:rsidR="0011555F" w:rsidRPr="00250A87" w:rsidRDefault="0011555F" w:rsidP="0011555F">
      <w:pPr>
        <w:rPr>
          <w:sz w:val="24"/>
          <w:szCs w:val="24"/>
        </w:rPr>
      </w:pPr>
    </w:p>
    <w:p w:rsidR="0011555F" w:rsidRPr="00250A87" w:rsidRDefault="00875632" w:rsidP="0011555F">
      <w:pPr>
        <w:rPr>
          <w:sz w:val="24"/>
          <w:szCs w:val="24"/>
        </w:rPr>
      </w:pPr>
      <w:r w:rsidRPr="00250A8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0D9F7B">
            <wp:simplePos x="0" y="0"/>
            <wp:positionH relativeFrom="margin">
              <wp:posOffset>3971925</wp:posOffset>
            </wp:positionH>
            <wp:positionV relativeFrom="margin">
              <wp:posOffset>3179445</wp:posOffset>
            </wp:positionV>
            <wp:extent cx="2870200" cy="3629025"/>
            <wp:effectExtent l="0" t="0" r="6350" b="952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60CE807-F9C3-4F21-B116-C9B49DC5C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60CE807-F9C3-4F21-B116-C9B49DC5C5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87" w:rsidRPr="00250A87">
        <w:rPr>
          <w:sz w:val="24"/>
          <w:szCs w:val="24"/>
        </w:rPr>
        <w:t xml:space="preserve">The </w:t>
      </w:r>
      <w:r w:rsidR="0011555F" w:rsidRPr="00250A87">
        <w:rPr>
          <w:sz w:val="24"/>
          <w:szCs w:val="24"/>
        </w:rPr>
        <w:t>Pesticide Stewardship Alliance</w:t>
      </w:r>
      <w:r w:rsidR="00250A87" w:rsidRPr="00250A87">
        <w:rPr>
          <w:sz w:val="24"/>
          <w:szCs w:val="24"/>
        </w:rPr>
        <w:t xml:space="preserve"> website has resources specifically for Mini Bulk / IBC. The site includes</w:t>
      </w:r>
      <w:r w:rsidR="0011555F" w:rsidRPr="00250A87">
        <w:rPr>
          <w:sz w:val="24"/>
          <w:szCs w:val="24"/>
        </w:rPr>
        <w:t xml:space="preserve"> lists </w:t>
      </w:r>
      <w:r w:rsidR="00250A87" w:rsidRPr="00250A87">
        <w:rPr>
          <w:sz w:val="24"/>
          <w:szCs w:val="24"/>
        </w:rPr>
        <w:t xml:space="preserve">of </w:t>
      </w:r>
      <w:r w:rsidR="0011555F" w:rsidRPr="00250A87">
        <w:rPr>
          <w:sz w:val="24"/>
          <w:szCs w:val="24"/>
        </w:rPr>
        <w:t xml:space="preserve">where to recycle </w:t>
      </w:r>
      <w:r w:rsidR="00250A87" w:rsidRPr="00250A87">
        <w:rPr>
          <w:sz w:val="24"/>
          <w:szCs w:val="24"/>
        </w:rPr>
        <w:t>old containers</w:t>
      </w:r>
      <w:r w:rsidR="0011555F" w:rsidRPr="00250A87">
        <w:rPr>
          <w:sz w:val="24"/>
          <w:szCs w:val="24"/>
        </w:rPr>
        <w:t xml:space="preserve">: </w:t>
      </w:r>
      <w:hyperlink r:id="rId9" w:history="1">
        <w:r w:rsidR="0011555F" w:rsidRPr="00250A87">
          <w:rPr>
            <w:rStyle w:val="Hyperlink"/>
            <w:sz w:val="24"/>
            <w:szCs w:val="24"/>
          </w:rPr>
          <w:t>https</w:t>
        </w:r>
        <w:r w:rsidR="0011555F" w:rsidRPr="00250A87">
          <w:rPr>
            <w:rStyle w:val="Hyperlink"/>
            <w:sz w:val="24"/>
            <w:szCs w:val="24"/>
          </w:rPr>
          <w:t>:</w:t>
        </w:r>
        <w:r w:rsidR="0011555F" w:rsidRPr="00250A87">
          <w:rPr>
            <w:rStyle w:val="Hyperlink"/>
            <w:sz w:val="24"/>
            <w:szCs w:val="24"/>
          </w:rPr>
          <w:t>//tpsalliance.org/</w:t>
        </w:r>
      </w:hyperlink>
    </w:p>
    <w:p w:rsidR="0011555F" w:rsidRPr="00250A87" w:rsidRDefault="0011555F" w:rsidP="0011555F">
      <w:pPr>
        <w:rPr>
          <w:sz w:val="24"/>
          <w:szCs w:val="24"/>
        </w:rPr>
      </w:pPr>
    </w:p>
    <w:p w:rsidR="0011555F" w:rsidRPr="00250A87" w:rsidRDefault="0011555F" w:rsidP="0011555F">
      <w:pPr>
        <w:rPr>
          <w:sz w:val="24"/>
          <w:szCs w:val="24"/>
        </w:rPr>
      </w:pPr>
      <w:r w:rsidRPr="00250A87">
        <w:rPr>
          <w:sz w:val="24"/>
          <w:szCs w:val="24"/>
        </w:rPr>
        <w:t>Purdue publication PPP-136 is available</w:t>
      </w:r>
      <w:r w:rsidR="00250A87" w:rsidRPr="00250A87">
        <w:rPr>
          <w:sz w:val="24"/>
          <w:szCs w:val="24"/>
        </w:rPr>
        <w:t xml:space="preserve"> for</w:t>
      </w:r>
      <w:r w:rsidRPr="00250A87">
        <w:rPr>
          <w:sz w:val="24"/>
          <w:szCs w:val="24"/>
        </w:rPr>
        <w:t xml:space="preserve"> free online!</w:t>
      </w:r>
      <w:r w:rsidR="00250A87" w:rsidRPr="00250A87">
        <w:rPr>
          <w:sz w:val="24"/>
          <w:szCs w:val="24"/>
        </w:rPr>
        <w:t xml:space="preserve"> </w:t>
      </w:r>
      <w:hyperlink r:id="rId10" w:history="1">
        <w:r w:rsidRPr="00250A87">
          <w:rPr>
            <w:rStyle w:val="Hyperlink"/>
            <w:sz w:val="24"/>
            <w:szCs w:val="24"/>
          </w:rPr>
          <w:t>https://ppp.purdue.edu/wp-content/uploads/2020/09/PPP-136.pdf</w:t>
        </w:r>
      </w:hyperlink>
    </w:p>
    <w:p w:rsidR="0011555F" w:rsidRPr="00250A87" w:rsidRDefault="0011555F" w:rsidP="0011555F">
      <w:pPr>
        <w:rPr>
          <w:sz w:val="24"/>
          <w:szCs w:val="24"/>
        </w:rPr>
      </w:pPr>
      <w:bookmarkStart w:id="0" w:name="_GoBack"/>
      <w:bookmarkEnd w:id="0"/>
    </w:p>
    <w:p w:rsidR="0011555F" w:rsidRPr="00250A87" w:rsidRDefault="0011555F" w:rsidP="0011555F">
      <w:pPr>
        <w:rPr>
          <w:b/>
          <w:i/>
          <w:sz w:val="24"/>
          <w:szCs w:val="24"/>
        </w:rPr>
      </w:pPr>
      <w:r w:rsidRPr="00250A87">
        <w:rPr>
          <w:b/>
          <w:i/>
          <w:sz w:val="24"/>
          <w:szCs w:val="24"/>
        </w:rPr>
        <w:t>Office of Indiana State Chemist</w:t>
      </w:r>
    </w:p>
    <w:p w:rsidR="0011555F" w:rsidRPr="00250A87" w:rsidRDefault="0011555F" w:rsidP="0011555F">
      <w:pPr>
        <w:rPr>
          <w:sz w:val="24"/>
          <w:szCs w:val="24"/>
        </w:rPr>
      </w:pPr>
      <w:r w:rsidRPr="00250A87">
        <w:rPr>
          <w:sz w:val="24"/>
          <w:szCs w:val="24"/>
        </w:rPr>
        <w:t>Joe Becovitz</w:t>
      </w:r>
      <w:r w:rsidRPr="00250A87">
        <w:rPr>
          <w:sz w:val="24"/>
          <w:szCs w:val="24"/>
        </w:rPr>
        <w:br/>
        <w:t>Telephone: 765-494-1589</w:t>
      </w:r>
      <w:r w:rsidRPr="00250A87">
        <w:rPr>
          <w:sz w:val="24"/>
          <w:szCs w:val="24"/>
        </w:rPr>
        <w:br/>
        <w:t>E-mail: </w:t>
      </w:r>
      <w:hyperlink r:id="rId11" w:history="1">
        <w:r w:rsidRPr="00250A87">
          <w:rPr>
            <w:rStyle w:val="Hyperlink"/>
            <w:sz w:val="24"/>
            <w:szCs w:val="24"/>
          </w:rPr>
          <w:t>becovitz@purdue.edu</w:t>
        </w:r>
      </w:hyperlink>
      <w:r w:rsidR="00250A87" w:rsidRPr="00250A8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A71BDB">
            <wp:simplePos x="2143125" y="7181850"/>
            <wp:positionH relativeFrom="margin">
              <wp:align>center</wp:align>
            </wp:positionH>
            <wp:positionV relativeFrom="margin">
              <wp:align>bottom</wp:align>
            </wp:positionV>
            <wp:extent cx="4448175" cy="636270"/>
            <wp:effectExtent l="0" t="0" r="9525" b="0"/>
            <wp:wrapSquare wrapText="bothSides"/>
            <wp:docPr id="5" name="Picture 5" descr="https://extension.purdue.edu/hub/wp-content/uploads/2020/04/Extension_H-Full-RGB.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tension.purdue.edu/hub/wp-content/uploads/2020/04/Extension_H-Full-RGB.Curre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14"/>
                    <a:stretch/>
                  </pic:blipFill>
                  <pic:spPr bwMode="auto">
                    <a:xfrm>
                      <a:off x="0" y="0"/>
                      <a:ext cx="44481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75C20" w:rsidRDefault="00475C20" w:rsidP="00475C2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60E0A39">
            <wp:simplePos x="1047115" y="-399415"/>
            <wp:positionH relativeFrom="margin">
              <wp:align>left</wp:align>
            </wp:positionH>
            <wp:positionV relativeFrom="margin">
              <wp:align>top</wp:align>
            </wp:positionV>
            <wp:extent cx="4699000" cy="5862320"/>
            <wp:effectExtent l="889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r="3403"/>
                    <a:stretch/>
                  </pic:blipFill>
                  <pic:spPr bwMode="auto">
                    <a:xfrm rot="16200000">
                      <a:off x="0" y="0"/>
                      <a:ext cx="4699000" cy="586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57453B">
            <wp:simplePos x="1028065" y="4324350"/>
            <wp:positionH relativeFrom="margin">
              <wp:align>left</wp:align>
            </wp:positionH>
            <wp:positionV relativeFrom="margin">
              <wp:align>bottom</wp:align>
            </wp:positionV>
            <wp:extent cx="4610100" cy="5755005"/>
            <wp:effectExtent l="0" t="953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" r="1305"/>
                    <a:stretch/>
                  </pic:blipFill>
                  <pic:spPr bwMode="auto">
                    <a:xfrm rot="16200000">
                      <a:off x="0" y="0"/>
                      <a:ext cx="4610100" cy="575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75C20" w:rsidSect="00250A87">
      <w:footerReference w:type="default" r:id="rId15"/>
      <w:pgSz w:w="12240" w:h="15840" w:code="1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20" w:rsidRDefault="00475C20" w:rsidP="00475C20">
      <w:pPr>
        <w:spacing w:after="0" w:line="240" w:lineRule="auto"/>
      </w:pPr>
      <w:r>
        <w:separator/>
      </w:r>
    </w:p>
  </w:endnote>
  <w:endnote w:type="continuationSeparator" w:id="0">
    <w:p w:rsidR="00475C20" w:rsidRDefault="00475C20" w:rsidP="0047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20" w:rsidRDefault="00475C20" w:rsidP="00475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20" w:rsidRDefault="00475C20" w:rsidP="00475C20">
      <w:pPr>
        <w:spacing w:after="0" w:line="240" w:lineRule="auto"/>
      </w:pPr>
      <w:r>
        <w:separator/>
      </w:r>
    </w:p>
  </w:footnote>
  <w:footnote w:type="continuationSeparator" w:id="0">
    <w:p w:rsidR="00475C20" w:rsidRDefault="00475C20" w:rsidP="00475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649"/>
    <w:multiLevelType w:val="hybridMultilevel"/>
    <w:tmpl w:val="155A5B6C"/>
    <w:lvl w:ilvl="0" w:tplc="972C1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4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8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C9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6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E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2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D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6201DA"/>
    <w:multiLevelType w:val="hybridMultilevel"/>
    <w:tmpl w:val="924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5F"/>
    <w:rsid w:val="0005647B"/>
    <w:rsid w:val="0011555F"/>
    <w:rsid w:val="00250A87"/>
    <w:rsid w:val="00475C20"/>
    <w:rsid w:val="00875632"/>
    <w:rsid w:val="00882888"/>
    <w:rsid w:val="00F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6BE52"/>
  <w15:chartTrackingRefBased/>
  <w15:docId w15:val="{3B785423-B731-45FA-BB82-0CB6005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20"/>
  </w:style>
  <w:style w:type="paragraph" w:styleId="Footer">
    <w:name w:val="footer"/>
    <w:basedOn w:val="Normal"/>
    <w:link w:val="FooterChar"/>
    <w:uiPriority w:val="99"/>
    <w:unhideWhenUsed/>
    <w:rsid w:val="0047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20"/>
  </w:style>
  <w:style w:type="character" w:styleId="FollowedHyperlink">
    <w:name w:val="FollowedHyperlink"/>
    <w:basedOn w:val="DefaultParagraphFont"/>
    <w:uiPriority w:val="99"/>
    <w:semiHidden/>
    <w:unhideWhenUsed/>
    <w:rsid w:val="00250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22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07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30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oisc.purdue.edu/fertilizer/pdf/registration_bulk_storage_facilities_fert_pest.pdf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covitz@purdue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pp.purdue.edu/wp-content/uploads/2020/09/PPP-1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salliance.or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Ann M</dc:creator>
  <cp:keywords/>
  <dc:description/>
  <cp:lastModifiedBy>Kline, Ann M</cp:lastModifiedBy>
  <cp:revision>4</cp:revision>
  <cp:lastPrinted>2021-07-01T13:23:00Z</cp:lastPrinted>
  <dcterms:created xsi:type="dcterms:W3CDTF">2021-06-30T16:11:00Z</dcterms:created>
  <dcterms:modified xsi:type="dcterms:W3CDTF">2021-07-01T17:02:00Z</dcterms:modified>
</cp:coreProperties>
</file>